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B7" w:rsidRPr="00455B90" w:rsidRDefault="007B36B7" w:rsidP="00F36A4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55B90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r w:rsidR="00F36A44" w:rsidRPr="00455B90">
        <w:rPr>
          <w:rFonts w:asciiTheme="majorBidi" w:hAnsiTheme="majorBidi" w:cstheme="majorBidi"/>
          <w:sz w:val="24"/>
          <w:szCs w:val="24"/>
        </w:rPr>
        <w:t xml:space="preserve">18 </w:t>
      </w:r>
      <w:proofErr w:type="spellStart"/>
      <w:r w:rsidR="00F36A44" w:rsidRPr="00455B90">
        <w:rPr>
          <w:rFonts w:asciiTheme="majorBidi" w:hAnsiTheme="majorBidi" w:cstheme="majorBidi"/>
          <w:sz w:val="24"/>
          <w:szCs w:val="24"/>
        </w:rPr>
        <w:t>Pebruari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7C1069" w:rsidRPr="00455B90" w:rsidRDefault="00F36A44" w:rsidP="000F25A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55B90">
        <w:rPr>
          <w:rFonts w:asciiTheme="majorBidi" w:hAnsiTheme="majorBidi" w:cstheme="majorBidi"/>
          <w:sz w:val="24"/>
          <w:szCs w:val="24"/>
        </w:rPr>
        <w:t>Sampit</w:t>
      </w:r>
      <w:proofErr w:type="spellEnd"/>
    </w:p>
    <w:p w:rsidR="007B36B7" w:rsidRPr="00455B90" w:rsidRDefault="007B36B7" w:rsidP="000F25A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55B90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7B36B7" w:rsidRPr="00455B90" w:rsidRDefault="007B36B7" w:rsidP="000F25A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455B90" w:rsidRPr="00455B90" w:rsidRDefault="00F36A44" w:rsidP="00455B90">
      <w:pPr>
        <w:spacing w:after="12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455B90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18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Pebruari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2001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pecahnya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k</w:t>
      </w:r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onflik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Sampit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yaitu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kerusuhan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antar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etnis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di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hyperlink r:id="rId4" w:tooltip="Indonesia" w:history="1">
        <w:r w:rsidRPr="00455B9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Indonesia</w:t>
        </w:r>
      </w:hyperlink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Berangkat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dari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kota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hyperlink r:id="rId5" w:tooltip="Sampit" w:history="1">
        <w:proofErr w:type="spellStart"/>
        <w:r w:rsidRPr="00455B9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Sampit</w:t>
        </w:r>
        <w:proofErr w:type="spellEnd"/>
      </w:hyperlink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hyperlink r:id="rId6" w:tooltip="Kalimantan Tengah" w:history="1">
        <w:r w:rsidRPr="00455B9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Kalimantan Tengah</w:t>
        </w:r>
      </w:hyperlink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ini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pula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konflik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etnis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ini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meluas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ke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seluruh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provinsi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termasuk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ibu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kota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fldChar w:fldCharType="begin"/>
      </w:r>
      <w:r w:rsidRPr="00455B90">
        <w:rPr>
          <w:rFonts w:asciiTheme="majorBidi" w:hAnsiTheme="majorBidi" w:cstheme="majorBidi"/>
          <w:sz w:val="24"/>
          <w:szCs w:val="24"/>
        </w:rPr>
        <w:instrText xml:space="preserve"> HYPERLINK "https://id.wikipedia.org/wiki/Palangka_Raya" \o "Palangka Raya" </w:instrText>
      </w:r>
      <w:r w:rsidRPr="00455B90">
        <w:rPr>
          <w:rFonts w:asciiTheme="majorBidi" w:hAnsiTheme="majorBidi" w:cstheme="majorBidi"/>
          <w:sz w:val="24"/>
          <w:szCs w:val="24"/>
        </w:rPr>
        <w:fldChar w:fldCharType="separate"/>
      </w:r>
      <w:r w:rsidRPr="00455B9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Palangka</w:t>
      </w:r>
      <w:proofErr w:type="spellEnd"/>
      <w:r w:rsidRPr="00455B9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Raya</w:t>
      </w:r>
      <w:r w:rsidRPr="00455B90">
        <w:rPr>
          <w:rFonts w:asciiTheme="majorBidi" w:hAnsiTheme="majorBidi" w:cstheme="majorBidi"/>
          <w:sz w:val="24"/>
          <w:szCs w:val="24"/>
        </w:rPr>
        <w:fldChar w:fldCharType="end"/>
      </w:r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Konflik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ini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terjadi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antara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fldChar w:fldCharType="begin"/>
      </w:r>
      <w:r w:rsidRPr="00455B90">
        <w:rPr>
          <w:rFonts w:asciiTheme="majorBidi" w:hAnsiTheme="majorBidi" w:cstheme="majorBidi"/>
          <w:sz w:val="24"/>
          <w:szCs w:val="24"/>
        </w:rPr>
        <w:instrText xml:space="preserve"> HYPERLINK "https://id.wikipedia.org/wiki/Suku_Dayak" \o "Suku Dayak" </w:instrText>
      </w:r>
      <w:r w:rsidRPr="00455B90">
        <w:rPr>
          <w:rFonts w:asciiTheme="majorBidi" w:hAnsiTheme="majorBidi" w:cstheme="majorBidi"/>
          <w:sz w:val="24"/>
          <w:szCs w:val="24"/>
        </w:rPr>
        <w:fldChar w:fldCharType="separate"/>
      </w:r>
      <w:r w:rsidRPr="00455B9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suku</w:t>
      </w:r>
      <w:proofErr w:type="spellEnd"/>
      <w:r w:rsidRPr="00455B9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455B9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Dayak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fldChar w:fldCharType="end"/>
      </w:r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asli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warga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migran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hyperlink r:id="rId7" w:tooltip="Suku Madura" w:history="1">
        <w:r w:rsidRPr="00455B9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Madura</w:t>
        </w:r>
      </w:hyperlink>
      <w:r w:rsidRPr="00455B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diawali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penyerangan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warga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Madura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oleh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sejumlah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warga</w:t>
      </w:r>
      <w:proofErr w:type="spellEnd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Dayak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hingga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pecahlah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pembunuhan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massif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hingga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500</w:t>
      </w:r>
      <w:r w:rsidR="00455B90"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korban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55B90"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tewas</w:t>
      </w:r>
      <w:proofErr w:type="spellEnd"/>
      <w:proofErr w:type="gramEnd"/>
      <w:r w:rsidR="00455B90" w:rsidRPr="00455B90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F36A44" w:rsidRDefault="00F36A44" w:rsidP="00455B9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55B90">
        <w:rPr>
          <w:rFonts w:asciiTheme="majorBidi" w:hAnsiTheme="majorBidi" w:cstheme="majorBidi"/>
          <w:sz w:val="24"/>
          <w:szCs w:val="24"/>
        </w:rPr>
        <w:t>Konflik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Sampit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laten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1996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1997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konflik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mengakibatkan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r w:rsidRPr="00455B90">
        <w:rPr>
          <w:rFonts w:asciiTheme="majorBidi" w:hAnsiTheme="majorBidi" w:cstheme="majorBidi"/>
          <w:sz w:val="24"/>
          <w:szCs w:val="24"/>
        </w:rPr>
        <w:t xml:space="preserve">600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korban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tewas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>.</w:t>
      </w:r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455B90" w:rsidRPr="00455B90">
        <w:rPr>
          <w:rFonts w:asciiTheme="majorBidi" w:hAnsiTheme="majorBidi" w:cstheme="majorBidi"/>
          <w:sz w:val="24"/>
          <w:szCs w:val="24"/>
        </w:rPr>
        <w:t>Semula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muncul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persaingan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pendatang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mukim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mengklaim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konflik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pecah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percekcokan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murid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ras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5B90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455B9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455B90">
        <w:rPr>
          <w:rFonts w:asciiTheme="majorBidi" w:hAnsiTheme="majorBidi" w:cstheme="majorBidi"/>
          <w:sz w:val="24"/>
          <w:szCs w:val="24"/>
        </w:rPr>
        <w:t>sama</w:t>
      </w:r>
      <w:proofErr w:type="spellEnd"/>
      <w:proofErr w:type="gram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455B90" w:rsidRPr="00455B90">
        <w:rPr>
          <w:rFonts w:asciiTheme="majorBidi" w:hAnsiTheme="majorBidi" w:cstheme="majorBidi"/>
          <w:sz w:val="24"/>
          <w:szCs w:val="24"/>
        </w:rPr>
        <w:t>(</w:t>
      </w:r>
      <w:hyperlink r:id="rId8" w:history="1">
        <w:r w:rsidR="00455B90" w:rsidRPr="00455B90">
          <w:rPr>
            <w:rStyle w:val="Hyperlink"/>
            <w:rFonts w:asciiTheme="majorBidi" w:hAnsiTheme="majorBidi" w:cstheme="majorBidi"/>
            <w:sz w:val="24"/>
            <w:szCs w:val="24"/>
          </w:rPr>
          <w:t>https://id.wikipedia.org/wiki/Konflik_Sampit</w:t>
        </w:r>
      </w:hyperlink>
      <w:r w:rsidR="00455B90" w:rsidRPr="00455B90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Apapun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 w:rsidRPr="00455B90">
        <w:rPr>
          <w:rFonts w:asciiTheme="majorBidi" w:hAnsiTheme="majorBidi" w:cstheme="majorBidi"/>
          <w:sz w:val="24"/>
          <w:szCs w:val="24"/>
        </w:rPr>
        <w:t>penyebabnya</w:t>
      </w:r>
      <w:proofErr w:type="spellEnd"/>
      <w:r w:rsidR="00455B90" w:rsidRPr="00455B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konflik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berujung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pertumpahan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patut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disesalkan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mengusung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kebhinnekaan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terlebih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muncul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seharusnya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wadah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tumbuhnya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berperadaban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justru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B90">
        <w:rPr>
          <w:rFonts w:asciiTheme="majorBidi" w:hAnsiTheme="majorBidi" w:cstheme="majorBidi"/>
          <w:sz w:val="24"/>
          <w:szCs w:val="24"/>
        </w:rPr>
        <w:t>kebiadaban</w:t>
      </w:r>
      <w:proofErr w:type="spellEnd"/>
      <w:r w:rsidR="00455B90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455B90" w:rsidRDefault="00455B90" w:rsidP="001D2C4A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>
        <w:rPr>
          <w:rFonts w:asciiTheme="majorBidi" w:hAnsiTheme="majorBidi" w:cstheme="majorBidi"/>
          <w:sz w:val="24"/>
          <w:szCs w:val="24"/>
        </w:rPr>
        <w:t>konflik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sunnatullah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sekiranya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menghendaki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sangatlah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sekiranya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menetapkan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beragam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konflik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diberi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rahmat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Allah-</w:t>
      </w:r>
      <w:proofErr w:type="spellStart"/>
      <w:r>
        <w:rPr>
          <w:rFonts w:asciiTheme="majorBidi" w:hAnsiTheme="majorBidi" w:cstheme="majorBidi"/>
          <w:sz w:val="24"/>
          <w:szCs w:val="24"/>
        </w:rPr>
        <w:t>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meredam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konflik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menghancurkan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(Qs </w:t>
      </w:r>
      <w:proofErr w:type="spellStart"/>
      <w:r w:rsidR="001D2C4A">
        <w:rPr>
          <w:rFonts w:asciiTheme="majorBidi" w:hAnsiTheme="majorBidi" w:cstheme="majorBidi"/>
          <w:sz w:val="24"/>
          <w:szCs w:val="24"/>
        </w:rPr>
        <w:t>Hud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118-119)</w:t>
      </w:r>
    </w:p>
    <w:p w:rsidR="00455B90" w:rsidRDefault="001D2C4A" w:rsidP="001D2C4A">
      <w:pPr>
        <w:bidi/>
        <w:spacing w:after="120" w:line="240" w:lineRule="auto"/>
        <w:rPr>
          <w:rFonts w:asciiTheme="majorBidi" w:hAnsiTheme="majorBidi" w:cs="Times New Roman"/>
          <w:sz w:val="24"/>
          <w:szCs w:val="24"/>
        </w:rPr>
      </w:pPr>
      <w:r w:rsidRPr="001D2C4A">
        <w:rPr>
          <w:rFonts w:asciiTheme="majorBidi" w:hAnsiTheme="majorBidi" w:cs="Times New Roman" w:hint="cs"/>
          <w:sz w:val="24"/>
          <w:szCs w:val="24"/>
          <w:rtl/>
        </w:rPr>
        <w:t>وَلَوْ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شَاء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رَبُّكَ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لَجَعَلَ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النَّاسَ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أُمَّةً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وَاحِدَةً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وَلاَ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يَزَالُونَ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مُخْتَلِفِينَ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﴿١١٨﴾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إِلاَّ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مَن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رَّحِمَ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رَبُّكَ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>…</w:t>
      </w:r>
    </w:p>
    <w:p w:rsidR="00F36A44" w:rsidRPr="00455B90" w:rsidRDefault="001D2C4A" w:rsidP="001D2C4A">
      <w:pPr>
        <w:spacing w:after="12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proofErr w:type="gramStart"/>
      <w:r w:rsidRPr="001D2C4A">
        <w:rPr>
          <w:rFonts w:asciiTheme="majorBidi" w:hAnsiTheme="majorBidi" w:cstheme="majorBidi"/>
          <w:sz w:val="24"/>
          <w:szCs w:val="24"/>
        </w:rPr>
        <w:t>Jikalau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Tuhanmu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menghendaki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tentu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berselisih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r w:rsidRPr="001D2C4A">
        <w:rPr>
          <w:rFonts w:asciiTheme="majorBidi" w:hAnsiTheme="majorBidi" w:cstheme="majorBidi"/>
          <w:sz w:val="24"/>
          <w:szCs w:val="24"/>
        </w:rPr>
        <w:t>cuali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orang-orang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diberi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rahmat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Tuhanmu</w:t>
      </w:r>
      <w:proofErr w:type="spellEnd"/>
      <w:r>
        <w:rPr>
          <w:rFonts w:asciiTheme="majorBidi" w:hAnsiTheme="majorBidi" w:cstheme="majorBidi"/>
          <w:sz w:val="24"/>
          <w:szCs w:val="24"/>
        </w:rPr>
        <w:t>….</w:t>
      </w:r>
    </w:p>
    <w:p w:rsidR="00F36A44" w:rsidRDefault="001D2C4A" w:rsidP="007D014B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Sampit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menyadarkan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keragaman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persoalan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krusial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agama, </w:t>
      </w:r>
      <w:proofErr w:type="spellStart"/>
      <w:r>
        <w:rPr>
          <w:rFonts w:asciiTheme="majorBidi" w:hAnsiTheme="majorBidi" w:cstheme="majorBidi"/>
          <w:sz w:val="24"/>
          <w:szCs w:val="24"/>
        </w:rPr>
        <w:t>ras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dimenej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pecahnya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konflik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terelakkan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lagi-lagi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Al-Quran </w:t>
      </w:r>
      <w:proofErr w:type="spellStart"/>
      <w:r>
        <w:rPr>
          <w:rFonts w:asciiTheme="majorBidi" w:hAnsiTheme="majorBidi" w:cstheme="majorBidi"/>
          <w:sz w:val="24"/>
          <w:szCs w:val="24"/>
        </w:rPr>
        <w:t>mengingatkan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keragaman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keakraban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didahului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Qs al-</w:t>
      </w:r>
      <w:proofErr w:type="spellStart"/>
      <w:r>
        <w:rPr>
          <w:rFonts w:asciiTheme="majorBidi" w:hAnsiTheme="majorBidi" w:cstheme="majorBidi"/>
          <w:sz w:val="24"/>
          <w:szCs w:val="24"/>
        </w:rPr>
        <w:t>Hujurat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ayat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11</w:t>
      </w:r>
    </w:p>
    <w:p w:rsidR="001D2C4A" w:rsidRDefault="001D2C4A" w:rsidP="001D2C4A">
      <w:pPr>
        <w:bidi/>
        <w:spacing w:after="120" w:line="240" w:lineRule="auto"/>
        <w:rPr>
          <w:rFonts w:asciiTheme="majorBidi" w:hAnsiTheme="majorBidi" w:cs="Times New Roman"/>
          <w:sz w:val="24"/>
          <w:szCs w:val="24"/>
        </w:rPr>
      </w:pPr>
      <w:r w:rsidRPr="001D2C4A">
        <w:rPr>
          <w:rFonts w:asciiTheme="majorBidi" w:hAnsiTheme="majorBidi" w:cs="Times New Roman" w:hint="cs"/>
          <w:sz w:val="24"/>
          <w:szCs w:val="24"/>
          <w:rtl/>
        </w:rPr>
        <w:t>يَا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أَيُّهَا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النَّاسُ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إِنَّا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خَلَقْنَاكُم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مِّن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ذَكَرٍ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وَأُنثَى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وَجَعَلْنَاكُمْ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شُعُوباً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وَقَبَائِلَ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لِتَعَارَفُوا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إِنَّ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أَكْرَمَكُمْ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عِندَ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اللَّهِ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أَتْقَاكُمْ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إِنَّ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اللَّهَ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عَلِيمٌ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D2C4A">
        <w:rPr>
          <w:rFonts w:asciiTheme="majorBidi" w:hAnsiTheme="majorBidi" w:cs="Times New Roman" w:hint="cs"/>
          <w:sz w:val="24"/>
          <w:szCs w:val="24"/>
          <w:rtl/>
        </w:rPr>
        <w:t>خَبِيرٌ</w:t>
      </w:r>
      <w:r w:rsidRPr="001D2C4A">
        <w:rPr>
          <w:rFonts w:asciiTheme="majorBidi" w:hAnsiTheme="majorBidi" w:cs="Times New Roman"/>
          <w:sz w:val="24"/>
          <w:szCs w:val="24"/>
          <w:rtl/>
        </w:rPr>
        <w:t xml:space="preserve"> ﴿١٣﴾</w:t>
      </w:r>
    </w:p>
    <w:p w:rsidR="001D2C4A" w:rsidRDefault="001D2C4A" w:rsidP="001D2C4A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D2C4A">
        <w:rPr>
          <w:rFonts w:asciiTheme="majorBidi" w:hAnsiTheme="majorBidi" w:cstheme="majorBidi"/>
          <w:sz w:val="24"/>
          <w:szCs w:val="24"/>
        </w:rPr>
        <w:t>Hai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Kami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berbangsa-bangsa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bersuku-suku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supaya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kenal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mengenal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D2C4A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sisi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bertakwa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D2C4A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Maha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Maha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2C4A">
        <w:rPr>
          <w:rFonts w:asciiTheme="majorBidi" w:hAnsiTheme="majorBidi" w:cstheme="majorBidi"/>
          <w:sz w:val="24"/>
          <w:szCs w:val="24"/>
        </w:rPr>
        <w:t>Mengenal</w:t>
      </w:r>
      <w:proofErr w:type="spellEnd"/>
      <w:r w:rsidRPr="001D2C4A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D2C4A" w:rsidRPr="00455B90" w:rsidRDefault="001D2C4A" w:rsidP="001D2C4A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Ayo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kebhinnekaan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mengakrabkan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antar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antar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dicampur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menghormati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menghormati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pelecehan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merendahkan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sejenisnya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mengakibatkan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kristalisasi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kesukuan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agama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sulit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dibaurkan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cenderung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menghancurkan</w:t>
      </w:r>
      <w:proofErr w:type="spellEnd"/>
      <w:r>
        <w:rPr>
          <w:rFonts w:asciiTheme="majorBidi" w:hAnsiTheme="majorBidi" w:cstheme="majorBidi"/>
          <w:sz w:val="24"/>
          <w:szCs w:val="24"/>
        </w:rPr>
        <w:t>,…</w:t>
      </w:r>
      <w:proofErr w:type="spellStart"/>
      <w:r>
        <w:rPr>
          <w:rFonts w:asciiTheme="majorBidi" w:hAnsiTheme="majorBidi" w:cstheme="majorBidi"/>
          <w:sz w:val="24"/>
          <w:szCs w:val="24"/>
        </w:rPr>
        <w:t>naudzu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billah</w:t>
      </w:r>
      <w:proofErr w:type="spellEnd"/>
    </w:p>
    <w:p w:rsidR="00455B90" w:rsidRPr="00455B90" w:rsidRDefault="00455B9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sectPr w:rsidR="00455B90" w:rsidRPr="00455B90" w:rsidSect="00CF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B36B7"/>
    <w:rsid w:val="00004427"/>
    <w:rsid w:val="00062906"/>
    <w:rsid w:val="000B05E5"/>
    <w:rsid w:val="000C2E9D"/>
    <w:rsid w:val="000F25A9"/>
    <w:rsid w:val="001D2C4A"/>
    <w:rsid w:val="001F4255"/>
    <w:rsid w:val="00243F57"/>
    <w:rsid w:val="00413CFC"/>
    <w:rsid w:val="00455B90"/>
    <w:rsid w:val="004F63CB"/>
    <w:rsid w:val="00555E43"/>
    <w:rsid w:val="00557F96"/>
    <w:rsid w:val="00573910"/>
    <w:rsid w:val="00587FFE"/>
    <w:rsid w:val="006E5E63"/>
    <w:rsid w:val="007B36B7"/>
    <w:rsid w:val="007C1069"/>
    <w:rsid w:val="007C3E80"/>
    <w:rsid w:val="007D014B"/>
    <w:rsid w:val="008919E4"/>
    <w:rsid w:val="008D425D"/>
    <w:rsid w:val="008D62A7"/>
    <w:rsid w:val="00956038"/>
    <w:rsid w:val="00977C8C"/>
    <w:rsid w:val="00992E32"/>
    <w:rsid w:val="00A721FC"/>
    <w:rsid w:val="00C45722"/>
    <w:rsid w:val="00C62F93"/>
    <w:rsid w:val="00CC27BB"/>
    <w:rsid w:val="00CF1724"/>
    <w:rsid w:val="00D336AE"/>
    <w:rsid w:val="00D96D2A"/>
    <w:rsid w:val="00F3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basedOn w:val="DefaultParagraphFont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Konflik_Samp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Suku_Mad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Kalimantan_Tengah" TargetMode="External"/><Relationship Id="rId5" Type="http://schemas.openxmlformats.org/officeDocument/2006/relationships/hyperlink" Target="https://id.wikipedia.org/wiki/Samp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d.wikipedia.org/wiki/Indones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PASCA2</dc:creator>
  <cp:lastModifiedBy>Dell</cp:lastModifiedBy>
  <cp:revision>2</cp:revision>
  <dcterms:created xsi:type="dcterms:W3CDTF">2018-02-18T09:26:00Z</dcterms:created>
  <dcterms:modified xsi:type="dcterms:W3CDTF">2018-02-18T09:26:00Z</dcterms:modified>
</cp:coreProperties>
</file>